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3CE" w:rsidRPr="00DB53CE" w:rsidRDefault="00DB53CE" w:rsidP="00DB53CE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Додаток</w:t>
      </w:r>
    </w:p>
    <w:p w:rsidR="00DB53CE" w:rsidRPr="00DB53CE" w:rsidRDefault="00DB53CE" w:rsidP="00DB53CE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до рішення обласної ради</w:t>
      </w:r>
    </w:p>
    <w:p w:rsidR="00DB53CE" w:rsidRPr="00DB53CE" w:rsidRDefault="00DB53CE" w:rsidP="00DB53CE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від 24 грудня 2022 року № 468-</w:t>
      </w: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VIII</w:t>
      </w:r>
    </w:p>
    <w:p w:rsidR="00DB53CE" w:rsidRPr="00DB53CE" w:rsidRDefault="00DB53CE" w:rsidP="00DB53CE">
      <w:pPr>
        <w:spacing w:after="0" w:line="240" w:lineRule="auto"/>
        <w:ind w:left="5387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(</w:t>
      </w: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uk-UA"/>
        </w:rPr>
        <w:t>XIV</w:t>
      </w: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сесія VІІІ скликання)</w:t>
      </w:r>
    </w:p>
    <w:p w:rsidR="00DB53CE" w:rsidRPr="00DB53CE" w:rsidRDefault="00DB53CE" w:rsidP="00DB53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 О Л О Ж Е Н </w:t>
      </w:r>
      <w:proofErr w:type="spellStart"/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</w:t>
      </w:r>
      <w:proofErr w:type="spellEnd"/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Я</w:t>
      </w:r>
    </w:p>
    <w:p w:rsidR="00DB53CE" w:rsidRPr="00DB53CE" w:rsidRDefault="00DB53CE" w:rsidP="00DB53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порядок проведення обласного конкурсу </w:t>
      </w:r>
      <w:proofErr w:type="spellStart"/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місцевого та регіонального розвитку «Разом в майбутнє»</w:t>
      </w:r>
    </w:p>
    <w:p w:rsidR="00DB53CE" w:rsidRPr="00DB53CE" w:rsidRDefault="00DB53CE" w:rsidP="00DB53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1. Загальні питання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1.1. Дане Положення про порядок проведення обласного конкурсу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місцевого та регіонального розвитку «Разом в майбутнє» (далі – Положення) встановлює умови участі, порядок подання, розгляду, відбору та фінансового забезпечення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– Конкурс).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1.2. Мета Конкурсу – сприяння відновленню соціально-економічного розвитку на місцевому та регіональному рівні шляхом активізації партнерства територіальних громад, громадських ініціатив та комунальних структур у реалізації заходів місцевих галузевих програм.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1.3. Основні завдання Конкурсу: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забезпечення належних умов життєдіяльності населення регіону, безпеки та стійкості критичної інфраструктури, відновлення функціонування об`єктів критичної інфраструктури територіальних громад Харківської області;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зростання ролі всіх видів партнерства у реалізації заходів місцевих галузевих програм, напрямків програм соціально-економічного розвитку як ключового інструменту стимулювання місцевого та регіонального економічного розвитку;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стимулювання та підтримка місцевих ініціатив щодо ефективного використання внутрішнього потенціалу громад для підвищення конкурентоспроможності регіону та зростання якості людського життя.</w:t>
      </w:r>
    </w:p>
    <w:p w:rsidR="00DB53CE" w:rsidRPr="00DB53CE" w:rsidRDefault="00DB53CE" w:rsidP="00DB53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2. Умови проведення Конкурсу</w:t>
      </w:r>
    </w:p>
    <w:p w:rsidR="00DB53CE" w:rsidRPr="00DB53CE" w:rsidRDefault="00DB53CE" w:rsidP="00DB53CE">
      <w:pPr>
        <w:spacing w:after="0" w:line="240" w:lineRule="auto"/>
        <w:ind w:firstLine="851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2.1. До участі у Конкурсі запрошуються: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перша категорія учасників: сільські, селищні, міські ради</w:t>
      </w: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або військові адміністрації населених пунктів, у разі їхнього утворення в межах територій територіальних громад – ініціатори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друга категорія учасників: громадські організації та спілки – ініціатори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партнерстві з органами місцевого самоврядування </w:t>
      </w:r>
      <w:bookmarkStart w:id="0" w:name="_Hlk122014401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або військовими адміністраціями населених пунктів, у разі їхнього утворення в межах територій територіальних громад</w:t>
      </w:r>
      <w:bookmarkEnd w:id="0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 структурними підрозділами обласної державної (військової) адміністрації – виконавці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комунальними підприємствами (закладами, установами) – партнери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Між партнерами укладається договір щодо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де визначаються зобов’язання та відповідальність, форма участі, обсяги фінансування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2.2.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мають відповідати напрямкам та заходам програм соціального-економічного розвитку територіальних громад.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2.3. Загальний обсяг фінансування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:</w:t>
      </w:r>
    </w:p>
    <w:p w:rsidR="00DB53CE" w:rsidRPr="00DB53CE" w:rsidRDefault="00DB53CE" w:rsidP="00DB53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           - перша категорія учасників – до 2 000,0 тис. гривень;</w:t>
      </w:r>
    </w:p>
    <w:p w:rsidR="00DB53CE" w:rsidRPr="00DB53CE" w:rsidRDefault="00DB53CE" w:rsidP="00DB53CE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           - друга категорія учасників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до 1 500,0 тис. гривень.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2.4. 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виконуються на умовах обов’язкового</w:t>
      </w:r>
      <w:r w:rsidRPr="00DB53CE"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  <w:t>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фінансування партнерами: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2.4.1. Для першої категорії учасників за рахунок коштів: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-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місцевих бюджетів (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сільських, селищних, міських рад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) та інших джерел, не заборонених чинним законодавством України,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 не менше 50 %;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- субвенції з обласного бюджету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–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не більше 50%.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lastRenderedPageBreak/>
        <w:t> 2.4.2. Для другої категорії учасників</w:t>
      </w:r>
      <w:r w:rsidRPr="00DB53CE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uk-UA"/>
        </w:rPr>
        <w:t> 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за рахунок коштів: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 –ініціатора та партнерів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,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інших джерел, не заборонених чинним законодавством України, – не менше 30%;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обласного бюджету – не більше 70%.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2.5.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мають бути реалізовані протягом одного бюджетного року.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2.6. До конкурсного відбору від одного конкурсанта приймається лише один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2.7. Якщо реалізація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передбачає використання земельної ділянки, то остання має знаходитися у комунальній власності територіальної громади, або бути переданою у користування закладу, установі, підприємству комунальної форми власності.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2.8. Якщо при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передбачається використання будівель і споруд, то вони мають знаходитися у комунальній власності територіальної громади.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2.9. Придбання товарів, робіт і послуг здійснюється відповідно до чинного законодавства України.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2.10. Конкурсанти подають заявку на участь у Конкурсі та конкурсну документацію у визначений спосіб згідно із формами і переліком, що затверджується Конкурсним комітетом. Конкурсна документація складається державною мовою.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2.11.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 надійшли для участі в конкурсі, не рецензуються, не повертаються, а також не можуть бути передані третім особам.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2.12. У разі визнання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переможцем обласного конкурсу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місцевого та регіонального розвитку «Разом в майбутнє», конкурсанти у 10-денний термін подають до Конкурсного комітету оригінали конкурсної документації.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2.13. Не допускаються до участі в Конкурсі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разі: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виявлення відсутності у конкурсанта реєстрації або легалізації відповідно до чинного законодавства України;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 відкликання конкурсантом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надходження конкурсної документації після закінчення встановленого терміну прийому, надання її не у повному обсязі або документації, що не відповідає вимогам даного Положення чи вимогам, визначеним Конкурсним комітетом;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виявлення у конкурсантів конфлікту інтересів відповідно до Закону України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«Про запобігання корупції»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left="708" w:firstLine="143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2.14. У рамках Конкурсу не фінансуються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передбачають: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спрямованість на політичну, релігійну та виборчу діяльність тощо;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одержання прибутку й прямої матеріальної допомоги, заробітної плати, винагороди та інших компенсаційних виплат конкурсантом або його представником, учасником, членом, партнером;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погашення боргових зобов'язань і матеріального збитку;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витрати на придбання ліцензій, патентів і товарних знаків;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uk-UA"/>
        </w:rPr>
        <w:t>- випуск авторських робіт, організацію та проведення персональних виставок;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 реалізація визначених у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заходів, що фінансуються за рахунок коштів бюджетів різних рівнів у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 рамках втілення державних, регіональних і галузевих програм 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2.15. Конкурсанти відповідають за достовірність наданої інформації та документів відповідно до чинного законодавства України.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2.16. На вимогу Конкурсного комітету, за потреби, конкурсанти надають додаткову інформацію щодо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2.17. Конкурс проводиться відповідно до Плану проведення обласного конкурсу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місцевого та регіонального розвитку «Разом в майбутнє», який затверджується Конкурсним комітетом.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2.18. Конкурсанти та виконавці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реалізують їх відповідно до календарного плану заходів, кошторису та бюджету, визначених у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2.19. Після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конкурсанти подають Конкурсному комітету підсумкові звіти про результати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форму якого затверджує Конкурсний комітет. За результатами розгляду підсумкового звіту узгоджується дата відкриття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проєкта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2.20. При відкритті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проєкта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обов’язково беруть участь члени Конкурсного комітету, депутати обласної та місцевих рад.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2.21. Підтвердженням </w:t>
      </w:r>
      <w:bookmarkStart w:id="1" w:name="_Hlk92980817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реалізації 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проєкта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є вручення конкурсанту сертифікату</w:t>
      </w:r>
      <w:bookmarkEnd w:id="1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дизайн якого затверджується Конкурсним комітетом.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2.22. Конкурсанти та виконавці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метою інформування громадськості можуть залучати місцеві ЗМІ, радіо та інтернет-ресурси для висвітлення етапів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3. Критерії оцінки </w:t>
      </w:r>
      <w:proofErr w:type="spellStart"/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3.1.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оцінюються Конкурсним комітетом за бальною системою, розробленою та затвердженою Конкурсним комітетом у Методиці оцінювання. У разі необхідності, за рішенням Конкурсного комітету до оцінювання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залучаються незалежні експерти.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3.2. Оцінювання здійснюються за наступними критеріями: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соціальна значимість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реалістичність мети;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наявність чіткого плану та механізмів розв’язання проблеми;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якісні та кількісні показники покращення життєдіяльності громади при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сталість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застосування інноваційних підходів у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обґрунтованість вартості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наявність додаткового фінансування з місцевих бюджетів або з інших джерел, не заборонених чинним законодавством, що зменшує частку фінансування з обласного бюджету.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ind w:left="720" w:hanging="29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4. Організаційне забезпечення Конкурсу</w:t>
      </w:r>
    </w:p>
    <w:p w:rsidR="00DB53CE" w:rsidRPr="00DB53CE" w:rsidRDefault="00DB53CE" w:rsidP="00DB53C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4.1.</w:t>
      </w:r>
      <w:r w:rsidRPr="00DB53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uk-UA"/>
        </w:rPr>
        <w:t> 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Персональний склад Конкурсного комітету затверджується розпорядженням голови обласної ради,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 визначається голова, його заступник та секретар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(не більше 11 осіб).</w:t>
      </w:r>
      <w:r w:rsidRPr="00DB53CE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uk-UA"/>
        </w:rPr>
        <w:t> 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До персонального складу Конкурсного комітету входять: 6 депутатів обласної ради, 4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працівники виконавчого апарату обласної ради, 1 представник структурного підрозділу обласної державної (військової) адміністрації (за згодою).</w:t>
      </w:r>
    </w:p>
    <w:p w:rsidR="00DB53CE" w:rsidRPr="00DB53CE" w:rsidRDefault="00DB53CE" w:rsidP="00DB53C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Секретар Конкурсного комітету організовує роботу Конкурсного комітету, за результатами засідання готує протоколи та доручення голови Конкурсного комітету.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Зміни до персонального складу Конкурсного комітету вносяться розпорядженням голови обласної ради.</w:t>
      </w:r>
    </w:p>
    <w:p w:rsidR="00DB53CE" w:rsidRPr="00DB53CE" w:rsidRDefault="00DB53CE" w:rsidP="00DB53C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Конкурсний комітет є колегіальним, постійно діючим консультативно-дорадчим органом.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4.2. Члени Конкурсного комітету здійснюють свої повноваження на громадських засадах.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4.3. Конкурсний комітет: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затверджує План проведення Конкурсу;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затверджує Методичні рекомендації щодо підготовки заявки та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проєктної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документації для участі у Конкурсі, підсумкові звіти про результати впровадження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затверджує форми, перелік та спосіб подання конкурсної документації;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впроваджує програмно-технічне забезпечення проведення Конкурсу;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затверджує Методику оцінювання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(далі – Методика) та оцінює їх;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залучає до оцінювання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у разі необхідності, незалежних експертів та затверджує умови їх залучення;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ухвалює рішення щодо переможців Конкурсу;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- контролює дотримання даного Положення і Плану проведення Конкурсу;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- представники беруть участь у відкритті реалізованих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 проводить роботу, спрямовану на популяризацію Конкурсу.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4.4. Регламент роботи Конкурсного комітету: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4.4.1. </w:t>
      </w:r>
      <w:bookmarkStart w:id="2" w:name="_Hlk122351676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Формою роботи Конкурсного комітету є засідання, які проводить його голова, або, за його відсутності, – </w:t>
      </w:r>
      <w:bookmarkEnd w:id="2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заступник. Засідання є правочинним, якщо в ньому беруть 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>участь більшість членів від затвердженого персонального складу. </w:t>
      </w:r>
      <w:bookmarkStart w:id="3" w:name="_Hlk122351625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 </w:t>
      </w:r>
      <w:bookmarkEnd w:id="3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необхідністю засідання можуть проводитися в режимі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відеоконференції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4.4.2. Рішення Конкурсного комітету приймаються більшістю голосів від кількості членів комітету, які брали участь у засіданні, та фіксуються у протоколі. У випадку рівної кількості голосів вирішальним є голос головуючого на засіданні Конкурсного комітету.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4.4.3. За результатами засідання Конкурсного комітету оформлюється протокол, який підписує головуючий та секретар Конкурсного комітету.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4.5. 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Координація роботи та організаційно-технічні заходи щодо підготовки та проведення Конкурсу покладаються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управління з питань місцевого самоврядування, розвитку громад та міжнародних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зв’язків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виконавчого апарату обласної ради, яке: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організовує роботу по прийманню та реєстрації конкурсних заявок;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проводить попередній аналіз зареєстрованих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щодо їх відповідності умовам Конкурсу;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 формує списки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 відповідають умовам Конкурсу, у розрізі категорій, відповідно до Методики оцінювання надає членам Конкурсного комітету для оцінювання;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 проводить узагальнення бальної оцінки, формує рейтингові таблиці в розрізі категорій і подає їх на розгляд Конкурсному комітету;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 здійснює моніторинг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отримує підсумкові звіти про результати впровадження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 узгоджує з конкурсантами дату відкриття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left="142" w:firstLine="709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розробляє Методичні рекомендації щодо підготовки заявки та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проєктної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документації для участі у Конкурсі, підсумкового звіту про результати впровадження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надає консультації, проводить навчально-методичні семінари, практикуми із менеджменту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тематикою, необхідною для якісної підготовки і впровадження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забезпечує поширення інформації про Конкурс у засобах масової інформації та соціальних мережах;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 забезпечує виготовлення та облік сертифікатів та іншої презентаційної продукції Конкурсу;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 готує аналітичні довідки та звіт про результати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4.6. Реалізацію Конкурсу забезпечують Конкурсний комітет, управління з питань місцевого самоврядування, розвитку громад та міжнародних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зв’язків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виконавчого апарату обласної ради, Департамент фінансів Харківської обласної державної (військової) адміністрації як головний розпорядник коштів Конкурсу, інші структурні підрозділи Харківської обласної державної (військової) адміністрації, сільські, селищні, міські ради, ініціатори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їх партнери.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4.7. Витрати на організаційне забезпечення Конкурсу здійснюються за рахунок коштів, передбачених на реалізацію комплексної програми «Розвиток місцевого самоврядування в Харківській області на 2022 – 2024 роки», затвердженої рішенням обласної ради від 23.09.2021 № 329-VІІІ (зі змінами).</w:t>
      </w:r>
    </w:p>
    <w:p w:rsidR="00DB53CE" w:rsidRPr="00DB53CE" w:rsidRDefault="00DB53CE" w:rsidP="00DB53CE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ind w:left="720" w:hanging="360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5. Процедура Конкурсу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5.1. Дата початку та термін проведення Конкурсу визначаються рішенням Конкурсного комітету. Офіційне повідомлення про початок Конкурсу та умови його проведення, зразки необхідних документів та вимоги до їхнього оформлення розміщуються у засобах масової інформації та соціальних мережах.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5.2. Подання заявок на участь у Конкурсі розпочинається наступного дня після публікації офіційного повідомлення про початок Конкурсу і здійснюється впродовж терміну, визначеного у рішенні Конкурсного комітету.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5.3. Конкурсна документація подається у визначений спосіб та терміни.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5.4. Упродовж 10 календарних днів із дня закінчення прийому конкурсної документації формуються у розрізі категорій учасників списки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що допущені до участі у Конкурсі, і подаються до Конкурсного комітету.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5.5. Члени Конкурсного комітету упродовж 20 календарних днів здійснюють оцінювання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відповідно до затвердженої Методики.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5.6. Протягом 10 календарних днів проводиться узагальнення бальної оцінки та формуються рейтингові таблиці в розрізі категорій учасників.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5.7. Конкурсний комітет на своєму засіданні ухвалює рішення щодо визначення переможців Конкурсу.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5.8. Повідомлення про переможців оприлюднюється у засобах масової інформації та соціальних мережах.</w:t>
      </w:r>
    </w:p>
    <w:p w:rsidR="00DB53CE" w:rsidRPr="00DB53CE" w:rsidRDefault="00DB53CE" w:rsidP="00DB53CE">
      <w:pPr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6. Фінансове забезпечення реалізації </w:t>
      </w:r>
      <w:proofErr w:type="spellStart"/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проєктів</w:t>
      </w:r>
      <w:proofErr w:type="spellEnd"/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6.1. Ф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 xml:space="preserve">інансування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, визнаних переможцями,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 рахунок коштів обласного бюджету, передбачених на поточний бюджетний рік, здійснюється на підставі рішення Конкурсного комітету та рішення обласної ради (розпорядження обласної державної (військової) адміністрації).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6.1.1. Для першої категорії учасників – шляхом передачі цільової субвенції сільським, селищним, міським бюджетам.</w:t>
      </w:r>
    </w:p>
    <w:p w:rsidR="00DB53CE" w:rsidRPr="00DB53CE" w:rsidRDefault="00DB53CE" w:rsidP="00DB53CE">
      <w:pPr>
        <w:spacing w:after="0" w:line="240" w:lineRule="auto"/>
        <w:ind w:firstLine="1134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6.1.2. Для другої категорії учасників – шляхом виділення фінансування цільової субвенції сільським, селищним, міським, бюджетам або головним розпорядникам коштів обласного бюджету – виконавцям.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6.2. Фінансування з обласного бюджету витрачається згідно з бюджетним законодавством на підставі рішень органів місцевого самоврядування (розпоряджень військових адміністраціях населених пунктів, у разі їхнього утворення в межах територій територіальних громад) із дотриманням пропорційного співвідношення, визначеного у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6.3. Реалізація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здійснюється на підставі договорів, що укладаються між Харківською обласною радою, переможцями Конкурсу та відповідними органами місцевого самоврядування або військовими адміністраціями населених пунктів, у разі їхнього утворення в межах територій територіальних громад.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6.4. Витрати, здійснені Конкурсантами до оприлюднення рішення Конкурсного комітету про визнання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переможцем, та витрати, пов’язані зі збільшенням кошторисної вартості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ході його реалізації (враховуючи, у тому числі, рівень інфляції), не підлягають оплаті з обласного бюджету.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6.5. Майно, придбане в рамках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береться на баланс відповідного органу місцевого самоврядування або військової адміністрації населеного пункту, у разі її утворення в межах території територіальної громади або комунального підприємства (закладу, установи).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6.6. Моніторинг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здійснюється</w:t>
      </w:r>
      <w:r w:rsidRPr="00DB53C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uk-UA"/>
        </w:rPr>
        <w:t> </w:t>
      </w: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на підставі інформації, яку надають виконавці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проєктів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 05 числа місяця, наступного за звітним, за формою, затвердженою Конкурсним комітетом. Інформація надається упродовж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C00000"/>
          <w:sz w:val="24"/>
          <w:szCs w:val="24"/>
          <w:lang w:eastAsia="uk-UA"/>
        </w:rPr>
        <w:t>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6.7. У разі зменшення вартості реалізованого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 фінансування з обласного бюджету повинно дорівнювати плановому відсотку за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проєктом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Різниця між профінансованою сумою коштів та розрахованою сумою повертається до обласного бюджету.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6.8. Рішенням Конкурсного комітету кошти обласного бюджету, спрямовані на фінансування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переможця конкурсу, можуть бути перерозподілені на інші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проєкти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які є наступними за рейтинговою оцінкою, або повернуті до обласного бюджету, у разі: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якщо переможець Конкурсу письмово відмовився від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якщо протягом місяця після визначення переможців місцеві ради, військові адміністрації – не надали рішення або розпорядження про виділення коштів із місцевих бюджетів на фінансування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-якщо протягом місяця після визначення переможців ініціатори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(друга категорія учасників) не надали договір, в якому зазначаються фінансові зобов’язання партнерів;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- якщо упродовж двох місяців після отримання фінансування з обласного бюджету для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, виконавець не здійснив касових видатків на виконання заходів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;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- не реалізації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(виконані заходи не відповідають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).</w:t>
      </w:r>
    </w:p>
    <w:p w:rsidR="00DB53CE" w:rsidRPr="00DB53CE" w:rsidRDefault="00DB53CE" w:rsidP="00DB53CE">
      <w:pPr>
        <w:spacing w:after="0" w:line="240" w:lineRule="auto"/>
        <w:ind w:firstLine="851"/>
        <w:jc w:val="both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6.9. У разі економії коштів на реалізацію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проєкту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через здешевлення вартості робіт і послуг унаслідок проведення процедур закупівлі із застосуванням електронної системи PROZORRO, ці кошти за письмовим зверненням виконавця та рішенням Конкурсного комітету можуть бути спрямовані виключно на завершення робіт за цим </w:t>
      </w:r>
      <w:proofErr w:type="spellStart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проєктом</w:t>
      </w:r>
      <w:proofErr w:type="spellEnd"/>
      <w:r w:rsidRPr="00DB53C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без змін видів робіт.</w:t>
      </w:r>
    </w:p>
    <w:p w:rsidR="00DB53CE" w:rsidRPr="00DB53CE" w:rsidRDefault="00DB53CE" w:rsidP="00DB53CE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40" w:lineRule="auto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Calibri" w:eastAsia="Times New Roman" w:hAnsi="Calibri" w:cs="Calibri"/>
          <w:color w:val="000000"/>
          <w:sz w:val="24"/>
          <w:szCs w:val="24"/>
          <w:lang w:eastAsia="uk-UA"/>
        </w:rPr>
        <w:t> </w:t>
      </w:r>
    </w:p>
    <w:p w:rsidR="00DB53CE" w:rsidRPr="00DB53CE" w:rsidRDefault="00DB53CE" w:rsidP="00DB53CE">
      <w:pPr>
        <w:spacing w:after="0" w:line="235" w:lineRule="atLeast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Керуючий справами</w:t>
      </w: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br/>
        <w:t>виконавчого апарату</w:t>
      </w:r>
    </w:p>
    <w:p w:rsidR="00DB53CE" w:rsidRPr="00DB53CE" w:rsidRDefault="00DB53CE" w:rsidP="00DB53CE">
      <w:pPr>
        <w:spacing w:after="0" w:line="235" w:lineRule="atLeast"/>
        <w:rPr>
          <w:rFonts w:ascii="Calibri" w:eastAsia="Times New Roman" w:hAnsi="Calibri" w:cs="Calibri"/>
          <w:color w:val="000000"/>
          <w:lang w:eastAsia="uk-UA"/>
        </w:rPr>
      </w:pPr>
      <w:r w:rsidRPr="00DB5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обласної ради                                                                                         Оксана МАЛИШЕВА</w:t>
      </w:r>
    </w:p>
    <w:p w:rsidR="00C06553" w:rsidRDefault="00C06553">
      <w:bookmarkStart w:id="4" w:name="_GoBack"/>
      <w:bookmarkEnd w:id="4"/>
    </w:p>
    <w:sectPr w:rsidR="00C065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CE"/>
    <w:rsid w:val="00C06553"/>
    <w:rsid w:val="00DB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9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10925</Words>
  <Characters>6228</Characters>
  <Application>Microsoft Office Word</Application>
  <DocSecurity>0</DocSecurity>
  <Lines>51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2023-08-15T14:30:00Z</dcterms:created>
  <dcterms:modified xsi:type="dcterms:W3CDTF">2023-08-15T14:33:00Z</dcterms:modified>
</cp:coreProperties>
</file>