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FA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581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пункту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 жовтня </w:t>
      </w:r>
    </w:p>
    <w:p w14:paraId="0176B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року № 710 «Про ефективне використання державних коштів»)</w:t>
      </w:r>
    </w:p>
    <w:p w14:paraId="16944A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95BAA">
      <w:pPr>
        <w:pStyle w:val="2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9BE9372">
      <w:pPr>
        <w:pStyle w:val="2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Комунальна установа Харківської обласної ради "Обласний центр підготовки громадян до національного спротиву”;</w:t>
      </w:r>
    </w:p>
    <w:p w14:paraId="1F2B8503">
      <w:pPr>
        <w:pStyle w:val="2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61022, Україна, Харківська область, Харків, Свободи майдан, будинок 5, Держпром, 7 під'їзд, 5 поверх;</w:t>
      </w:r>
    </w:p>
    <w:p w14:paraId="639A7C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Код за ЄДРПОУ –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>45250584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;</w:t>
      </w:r>
    </w:p>
    <w:p w14:paraId="38AD3E8E">
      <w:pPr>
        <w:pStyle w:val="28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Категорія замовника – Юридична особа, яка забезпечує потреби держави або територіальної громади.</w:t>
      </w:r>
    </w:p>
    <w:p w14:paraId="7565C3FC">
      <w:pPr>
        <w:pStyle w:val="28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69459B49">
      <w:pPr>
        <w:pStyle w:val="2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CE4782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Тренажерні навчальні комплекси та макети навчальні, код ДК 021:2015: 35740000-3 Симулятори бойових дій.</w:t>
      </w:r>
    </w:p>
    <w:p w14:paraId="4D786B61">
      <w:pPr>
        <w:pStyle w:val="28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E2E7E1">
      <w:pPr>
        <w:pStyle w:val="28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Ідентифікатор закупівлі: </w:t>
      </w:r>
    </w:p>
    <w:p w14:paraId="160E961E">
      <w:pPr>
        <w:pStyle w:val="28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UA-2025-11-04-006811-a</w:t>
      </w:r>
    </w:p>
    <w:p w14:paraId="407B84D0">
      <w:pPr>
        <w:pStyle w:val="28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</w:p>
    <w:p w14:paraId="2C79961E">
      <w:pPr>
        <w:pStyle w:val="28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7060"/>
        <w:gridCol w:w="985"/>
        <w:gridCol w:w="966"/>
      </w:tblGrid>
      <w:tr w14:paraId="56E87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25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№ з/п</w:t>
            </w:r>
          </w:p>
        </w:tc>
        <w:tc>
          <w:tcPr>
            <w:tcW w:w="7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73C20">
            <w:pPr>
              <w:spacing w:after="0" w:line="240" w:lineRule="auto"/>
              <w:ind w:left="186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Найменування обладнання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A5E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Од. виміру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F4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Кіль-кість</w:t>
            </w:r>
          </w:p>
        </w:tc>
      </w:tr>
      <w:tr w14:paraId="1EA00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168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056F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Тренажерний навчальний комплекс Універсальна навчальна інтерактивна тренінгова система "UNITS" мобільного типу (або еквівалент)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550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шт.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E6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</w:tr>
      <w:tr w14:paraId="636EC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C0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981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Макет навчальний "Автомат АК-74"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637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шт.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26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</w:tr>
      <w:tr w14:paraId="77B65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458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C39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Макет навчальний "Гвинтівка AR-15"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8E8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шт.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07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</w:tr>
      <w:tr w14:paraId="7D256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56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6B6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Тренажерний навчальний комплекс помпової рушниці "Дронобій" (або еквівалент)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115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шт.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5D4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</w:tr>
    </w:tbl>
    <w:p w14:paraId="4D1B330F">
      <w:pPr>
        <w:spacing w:after="0" w:line="240" w:lineRule="auto"/>
        <w:rPr>
          <w:rFonts w:ascii="Times New Roman" w:hAnsi="Times New Roman" w:eastAsia="Times New Roman" w:cs="Times New Roman"/>
          <w:b/>
          <w:position w:val="6"/>
          <w:lang w:eastAsia="ru-RU"/>
        </w:rPr>
      </w:pPr>
    </w:p>
    <w:p w14:paraId="2782AEE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position w:val="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position w:val="6"/>
          <w:sz w:val="28"/>
          <w:szCs w:val="28"/>
          <w:lang w:eastAsia="ru-RU"/>
        </w:rPr>
        <w:t xml:space="preserve">Призначення: </w:t>
      </w:r>
    </w:p>
    <w:p w14:paraId="5B7C8F56">
      <w:pPr>
        <w:spacing w:after="0" w:line="240" w:lineRule="auto"/>
        <w:ind w:firstLine="708"/>
        <w:jc w:val="both"/>
        <w:rPr>
          <w:rFonts w:ascii="Times New Roman" w:hAnsi="Times New Roman" w:eastAsia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Навчання (тренування) слухачів з вогневої підготовки зі стрілецької зброї згідно методики Міністерства оборони України «Курс стрільб зі стрілецької зброї», а саме:</w:t>
      </w:r>
    </w:p>
    <w:p w14:paraId="5493B1A7">
      <w:pPr>
        <w:spacing w:after="0" w:line="240" w:lineRule="auto"/>
        <w:ind w:left="709" w:hanging="283"/>
        <w:jc w:val="both"/>
        <w:rPr>
          <w:rFonts w:ascii="Times New Roman" w:hAnsi="Times New Roman" w:eastAsia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Відпрацювання правильної стійк</w:t>
      </w:r>
      <w:r>
        <w:rPr>
          <w:rFonts w:ascii="Times New Roman" w:hAnsi="Times New Roman" w:eastAsia="Times New Roman"/>
          <w:position w:val="6"/>
          <w:sz w:val="28"/>
          <w:szCs w:val="28"/>
          <w:lang w:val="uk-UA" w:eastAsia="ru-RU"/>
        </w:rPr>
        <w:t>и</w:t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, дихання, утримання зброї, прицілювання, плавного спуску курка з бойового взводу.</w:t>
      </w:r>
    </w:p>
    <w:p w14:paraId="41134496">
      <w:pPr>
        <w:spacing w:after="0" w:line="240" w:lineRule="auto"/>
        <w:ind w:left="709" w:hanging="283"/>
        <w:jc w:val="both"/>
        <w:rPr>
          <w:rFonts w:ascii="Times New Roman" w:hAnsi="Times New Roman" w:eastAsia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Обробка, підтримка та вдосконалення навичок ведення прицільної стрільби в статиці.</w:t>
      </w:r>
    </w:p>
    <w:p w14:paraId="1B3AFE12">
      <w:pPr>
        <w:spacing w:after="0" w:line="240" w:lineRule="auto"/>
        <w:ind w:left="709" w:hanging="283"/>
        <w:jc w:val="both"/>
        <w:rPr>
          <w:rFonts w:ascii="Times New Roman" w:hAnsi="Times New Roman" w:eastAsia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Відпрацювання навичок інтуїтивної стрільби без прицілювання в умовах обмеженої видимості та часу.</w:t>
      </w:r>
    </w:p>
    <w:p w14:paraId="4131A845">
      <w:pPr>
        <w:spacing w:after="0" w:line="240" w:lineRule="auto"/>
        <w:ind w:left="709" w:hanging="283"/>
        <w:jc w:val="both"/>
        <w:rPr>
          <w:rFonts w:ascii="Times New Roman" w:hAnsi="Times New Roman" w:eastAsia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Відпрацювання застосування вогнепальної зброї у різних ситуаціях.</w:t>
      </w:r>
    </w:p>
    <w:p w14:paraId="29112D98">
      <w:pPr>
        <w:spacing w:after="0" w:line="240" w:lineRule="auto"/>
        <w:ind w:left="709" w:hanging="283"/>
        <w:jc w:val="both"/>
        <w:rPr>
          <w:rFonts w:ascii="Times New Roman" w:hAnsi="Times New Roman" w:eastAsia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Поглиблене тренування з переводу вогню та стрільби по мішенях, що рухаються.</w:t>
      </w:r>
    </w:p>
    <w:p w14:paraId="130EE17C">
      <w:pPr>
        <w:spacing w:after="0" w:line="240" w:lineRule="auto"/>
        <w:ind w:left="709" w:hanging="283"/>
        <w:jc w:val="both"/>
        <w:rPr>
          <w:rFonts w:ascii="Times New Roman" w:hAnsi="Times New Roman" w:eastAsia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Підготовка, тренування та набуття навичок з техніки стрільби з помпової рушниці по атакуючим FPV-дронам, індивідуального почергового навчання правилам бойової роботи і здійснення пострілів з різними типами боєприпасів.</w:t>
      </w:r>
    </w:p>
    <w:p w14:paraId="3CED0D8A">
      <w:pPr>
        <w:spacing w:after="0" w:line="240" w:lineRule="auto"/>
        <w:ind w:left="709" w:hanging="283"/>
        <w:jc w:val="both"/>
        <w:rPr>
          <w:rFonts w:ascii="Times New Roman" w:hAnsi="Times New Roman" w:eastAsia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position w:val="6"/>
          <w:sz w:val="28"/>
          <w:szCs w:val="28"/>
          <w:lang w:eastAsia="ru-RU"/>
        </w:rPr>
        <w:t>Проведення індивідуальних навчальних стрільб та змагань між кількома учасниками.</w:t>
      </w:r>
    </w:p>
    <w:p w14:paraId="015AF860">
      <w:pPr>
        <w:tabs>
          <w:tab w:val="left" w:pos="0"/>
        </w:tabs>
        <w:spacing w:after="120" w:line="240" w:lineRule="auto"/>
        <w:jc w:val="both"/>
        <w:rPr>
          <w:rFonts w:ascii="Times New Roman" w:hAnsi="Times New Roman" w:eastAsia="Calibri"/>
          <w:sz w:val="28"/>
          <w:szCs w:val="28"/>
        </w:rPr>
      </w:pPr>
    </w:p>
    <w:p w14:paraId="657695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 до цього виду товару.</w:t>
      </w:r>
    </w:p>
    <w:p w14:paraId="170F1259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Calibri" w:cs="Times New Roman"/>
          <w:color w:val="FF0000"/>
          <w:sz w:val="28"/>
          <w:szCs w:val="28"/>
        </w:rPr>
      </w:pPr>
    </w:p>
    <w:p w14:paraId="329384FB">
      <w:pPr>
        <w:pStyle w:val="28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Очікувана вартість предмета закупівлі та розмір бюджетного призначення.</w:t>
      </w:r>
    </w:p>
    <w:p w14:paraId="74E8C102">
      <w:pPr>
        <w:tabs>
          <w:tab w:val="left" w:pos="0"/>
        </w:tabs>
        <w:spacing w:after="12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eastAsia="Calibri"/>
          <w:sz w:val="28"/>
          <w:szCs w:val="28"/>
        </w:rPr>
        <w:t>Очікувана вартість предмета закупівлі  визначалась за рекомендацією Примірної методики визначення очікуваної вартості предмета закупівлі, затвердженої наказом Мінекономіки від 18.02.2020 №275 (зі змінами) за методом порівняння ринкових цін з урахуванням</w:t>
      </w:r>
      <w:r>
        <w:t xml:space="preserve"> </w:t>
      </w:r>
      <w:r>
        <w:rPr>
          <w:rFonts w:ascii="Times New Roman" w:hAnsi="Times New Roman" w:eastAsia="Calibri"/>
          <w:sz w:val="28"/>
          <w:szCs w:val="28"/>
        </w:rPr>
        <w:t>затвердженого кошторису на 2025 рік на виконання Регіональної програми підготовки громадян до національного спротиву на 2025-2028 роки.</w:t>
      </w:r>
    </w:p>
    <w:p w14:paraId="07E8B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8D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щодо закупівлі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Тренажерні навчальні комплекси та макети навчальні, код ДК 021:2015: 35740000-3 Симулятори бойових дій </w:t>
      </w:r>
      <w:r>
        <w:rPr>
          <w:rFonts w:ascii="Times New Roman" w:hAnsi="Times New Roman" w:cs="Times New Roman"/>
          <w:sz w:val="28"/>
          <w:szCs w:val="28"/>
        </w:rPr>
        <w:t xml:space="preserve">становить - 882 864,00 грн. </w:t>
      </w:r>
    </w:p>
    <w:p w14:paraId="3BCAD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14:paraId="3221DCA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1FD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14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2F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5D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A68A2"/>
    <w:multiLevelType w:val="multilevel"/>
    <w:tmpl w:val="39FA68A2"/>
    <w:lvl w:ilvl="0" w:tentative="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19"/>
    <w:rsid w:val="00001D48"/>
    <w:rsid w:val="00022ACF"/>
    <w:rsid w:val="00087652"/>
    <w:rsid w:val="00096F58"/>
    <w:rsid w:val="000A5C5F"/>
    <w:rsid w:val="001129A0"/>
    <w:rsid w:val="00180C94"/>
    <w:rsid w:val="00197C68"/>
    <w:rsid w:val="001A02D3"/>
    <w:rsid w:val="001A2913"/>
    <w:rsid w:val="001C763C"/>
    <w:rsid w:val="001E33DD"/>
    <w:rsid w:val="001E7A48"/>
    <w:rsid w:val="00234610"/>
    <w:rsid w:val="002C1BB1"/>
    <w:rsid w:val="002C6AB4"/>
    <w:rsid w:val="00352E58"/>
    <w:rsid w:val="003C5D7A"/>
    <w:rsid w:val="003F113F"/>
    <w:rsid w:val="003F43C2"/>
    <w:rsid w:val="00402EC8"/>
    <w:rsid w:val="004926D0"/>
    <w:rsid w:val="004A224A"/>
    <w:rsid w:val="004A365F"/>
    <w:rsid w:val="004B07F0"/>
    <w:rsid w:val="004E4085"/>
    <w:rsid w:val="005361A1"/>
    <w:rsid w:val="00556C7E"/>
    <w:rsid w:val="005F11F1"/>
    <w:rsid w:val="005F7973"/>
    <w:rsid w:val="0060647B"/>
    <w:rsid w:val="00621EC2"/>
    <w:rsid w:val="006251AA"/>
    <w:rsid w:val="006275C5"/>
    <w:rsid w:val="00630ED3"/>
    <w:rsid w:val="00660CFF"/>
    <w:rsid w:val="0067558B"/>
    <w:rsid w:val="00684844"/>
    <w:rsid w:val="006A5828"/>
    <w:rsid w:val="006D0CFB"/>
    <w:rsid w:val="00754E61"/>
    <w:rsid w:val="00793660"/>
    <w:rsid w:val="007F568D"/>
    <w:rsid w:val="00823E93"/>
    <w:rsid w:val="008426C4"/>
    <w:rsid w:val="00843EEA"/>
    <w:rsid w:val="008C1AE9"/>
    <w:rsid w:val="008D6353"/>
    <w:rsid w:val="009031C2"/>
    <w:rsid w:val="00937F57"/>
    <w:rsid w:val="00952C2D"/>
    <w:rsid w:val="00971D19"/>
    <w:rsid w:val="00985483"/>
    <w:rsid w:val="00990CB2"/>
    <w:rsid w:val="00992DD1"/>
    <w:rsid w:val="0099321B"/>
    <w:rsid w:val="009B6C85"/>
    <w:rsid w:val="009F2547"/>
    <w:rsid w:val="00A03339"/>
    <w:rsid w:val="00A05BB7"/>
    <w:rsid w:val="00A066F0"/>
    <w:rsid w:val="00A4136E"/>
    <w:rsid w:val="00A511E1"/>
    <w:rsid w:val="00A63F73"/>
    <w:rsid w:val="00A80CF0"/>
    <w:rsid w:val="00AA6D7E"/>
    <w:rsid w:val="00AC33D6"/>
    <w:rsid w:val="00AC51E4"/>
    <w:rsid w:val="00AD0E44"/>
    <w:rsid w:val="00AE1562"/>
    <w:rsid w:val="00AF06A5"/>
    <w:rsid w:val="00AF24F9"/>
    <w:rsid w:val="00B20F36"/>
    <w:rsid w:val="00B249F1"/>
    <w:rsid w:val="00B412DB"/>
    <w:rsid w:val="00B4627D"/>
    <w:rsid w:val="00B53158"/>
    <w:rsid w:val="00B91792"/>
    <w:rsid w:val="00B93903"/>
    <w:rsid w:val="00C00F41"/>
    <w:rsid w:val="00C06013"/>
    <w:rsid w:val="00C5013D"/>
    <w:rsid w:val="00C53B66"/>
    <w:rsid w:val="00C5495F"/>
    <w:rsid w:val="00C6553C"/>
    <w:rsid w:val="00CC7044"/>
    <w:rsid w:val="00D06EAC"/>
    <w:rsid w:val="00D26CD7"/>
    <w:rsid w:val="00D33758"/>
    <w:rsid w:val="00D33CC7"/>
    <w:rsid w:val="00D5665F"/>
    <w:rsid w:val="00D634C9"/>
    <w:rsid w:val="00DE0B7B"/>
    <w:rsid w:val="00E37951"/>
    <w:rsid w:val="00E43D84"/>
    <w:rsid w:val="00E57C5D"/>
    <w:rsid w:val="00E7027B"/>
    <w:rsid w:val="00EB2E55"/>
    <w:rsid w:val="00F42087"/>
    <w:rsid w:val="00F65C66"/>
    <w:rsid w:val="00F67488"/>
    <w:rsid w:val="00F846D0"/>
    <w:rsid w:val="00FE6A90"/>
    <w:rsid w:val="640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link w:val="33"/>
    <w:qFormat/>
    <w:uiPriority w:val="99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Насичена цитата Знак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Абзац списку Знак"/>
    <w:link w:val="28"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2198</Words>
  <Characters>1253</Characters>
  <Lines>10</Lines>
  <Paragraphs>6</Paragraphs>
  <TotalTime>147</TotalTime>
  <ScaleCrop>false</ScaleCrop>
  <LinksUpToDate>false</LinksUpToDate>
  <CharactersWithSpaces>3445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2025-09-19T11:00:00Z</dcterms:created>
  <dc:creator>LocalAdmin</dc:creator>
  <cp:lastModifiedBy>Віктор Козоріз</cp:lastModifiedBy>
  <dcterms:modified xsi:type="dcterms:W3CDTF">2025-11-05T12:37:51Z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2560AB488BBC42CE86DE07ED9AA63550_12</vt:lpwstr>
  </property>
</Properties>
</file>