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A0780C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A0780C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тел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. 700-53-29,  e-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mail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:  </w:t>
      </w:r>
      <w:hyperlink r:id="rId8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38DB70B" w14:textId="06867137" w:rsidR="00A364CB" w:rsidRPr="00A364CB" w:rsidRDefault="00A364CB" w:rsidP="00A3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364C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ПРОТОКОЛ № 3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9</w:t>
      </w:r>
    </w:p>
    <w:p w14:paraId="7EB3F3DD" w14:textId="77777777" w:rsidR="00A364CB" w:rsidRPr="00A364CB" w:rsidRDefault="00A364CB" w:rsidP="00A3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364C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 xml:space="preserve">засідання постійної комісії </w:t>
      </w:r>
    </w:p>
    <w:p w14:paraId="589F6171" w14:textId="77777777" w:rsidR="00A364CB" w:rsidRPr="00A364CB" w:rsidRDefault="00A364CB" w:rsidP="00A3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uk-UA"/>
        </w:rPr>
      </w:pPr>
    </w:p>
    <w:p w14:paraId="756A0523" w14:textId="483AC3F2" w:rsidR="00A364CB" w:rsidRPr="00A364CB" w:rsidRDefault="00A364CB" w:rsidP="00A364CB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A364C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ab/>
      </w:r>
      <w:r w:rsidRPr="00A364C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ab/>
      </w:r>
      <w:r w:rsidRPr="00A364CB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18 листопада</w:t>
      </w:r>
      <w:r w:rsidRPr="00A364CB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2025 року, 1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4</w:t>
      </w:r>
      <w:r w:rsidRPr="00A364CB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.00 </w:t>
      </w:r>
    </w:p>
    <w:p w14:paraId="7F540ECA" w14:textId="77777777" w:rsidR="00A364CB" w:rsidRPr="00A364CB" w:rsidRDefault="00A364CB" w:rsidP="00A364CB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16"/>
          <w:szCs w:val="16"/>
          <w:u w:val="single"/>
          <w:lang w:val="uk-UA" w:eastAsia="ar-SA"/>
        </w:rPr>
      </w:pPr>
    </w:p>
    <w:p w14:paraId="56C85DFB" w14:textId="479792FA" w:rsidR="00A364CB" w:rsidRPr="00A364CB" w:rsidRDefault="00A364CB" w:rsidP="00A364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ar-SA"/>
          <w14:ligatures w14:val="none"/>
        </w:rPr>
      </w:pPr>
      <w:r w:rsidRPr="00A364CB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 w:eastAsia="ar-SA"/>
          <w14:ligatures w14:val="none"/>
        </w:rPr>
        <w:t>Місце проведення:</w:t>
      </w:r>
      <w:r w:rsidRPr="00A364CB">
        <w:rPr>
          <w:rFonts w:ascii="Times New Roman" w:eastAsia="Calibri" w:hAnsi="Times New Roman" w:cs="Times New Roman"/>
          <w:i/>
          <w:iCs/>
          <w:sz w:val="28"/>
          <w:szCs w:val="28"/>
          <w:lang w:val="uk-UA" w:eastAsia="ar-SA"/>
          <w14:ligatures w14:val="none"/>
        </w:rPr>
        <w:t xml:space="preserve"> Конференц-зала  Харківської обласної ради із застосуванням </w:t>
      </w:r>
      <w:r w:rsidRPr="00A364CB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платформи </w:t>
      </w:r>
      <w:proofErr w:type="spellStart"/>
      <w:r w:rsidRPr="00A364CB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>Cisko</w:t>
      </w:r>
      <w:proofErr w:type="spellEnd"/>
      <w:r w:rsidRPr="00A364CB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 </w:t>
      </w:r>
      <w:proofErr w:type="spellStart"/>
      <w:r w:rsidRPr="00A364CB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>Webex</w:t>
      </w:r>
      <w:proofErr w:type="spellEnd"/>
      <w:r w:rsidRPr="00A364CB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. </w:t>
      </w:r>
    </w:p>
    <w:p w14:paraId="5FCA5719" w14:textId="77777777" w:rsidR="00A364CB" w:rsidRPr="00A364CB" w:rsidRDefault="00A364CB" w:rsidP="00A364CB">
      <w:pPr>
        <w:tabs>
          <w:tab w:val="left" w:pos="284"/>
          <w:tab w:val="left" w:pos="709"/>
        </w:tabs>
        <w:suppressAutoHyphens/>
        <w:spacing w:after="0" w:line="240" w:lineRule="auto"/>
        <w:ind w:right="-164"/>
        <w:jc w:val="both"/>
        <w:rPr>
          <w:rFonts w:ascii="Times New Roman" w:eastAsia="Calibri" w:hAnsi="Times New Roman" w:cs="Times New Roman"/>
          <w:kern w:val="1"/>
          <w:sz w:val="16"/>
          <w:szCs w:val="16"/>
          <w:lang w:val="uk-UA" w:eastAsia="ar-SA"/>
        </w:rPr>
      </w:pPr>
    </w:p>
    <w:p w14:paraId="707C5004" w14:textId="77777777" w:rsidR="00A364CB" w:rsidRPr="00A364CB" w:rsidRDefault="00A364CB" w:rsidP="00A364C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/>
        </w:rPr>
      </w:pPr>
      <w:r w:rsidRPr="00A364CB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uk-UA"/>
        </w:rPr>
        <w:t xml:space="preserve">Всього членів комісії </w:t>
      </w:r>
      <w:r w:rsidRPr="00A364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</w:rPr>
        <w:t>– 9.</w:t>
      </w:r>
    </w:p>
    <w:p w14:paraId="6C16A5E8" w14:textId="77777777" w:rsidR="00A364CB" w:rsidRPr="00A364CB" w:rsidRDefault="00A364CB" w:rsidP="00A364C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val="uk-UA" w:eastAsia="zh-CN"/>
        </w:rPr>
      </w:pPr>
    </w:p>
    <w:p w14:paraId="3BE7AA3F" w14:textId="5ED6899A" w:rsidR="00A364CB" w:rsidRPr="00A364CB" w:rsidRDefault="00A364CB" w:rsidP="00A364C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</w:pPr>
      <w:r w:rsidRPr="00A364C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  <w:t xml:space="preserve">ПРИСУТНІ: </w:t>
      </w:r>
      <w:proofErr w:type="spellStart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Куц</w:t>
      </w:r>
      <w:proofErr w:type="spellEnd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Г.М. – головуюча на засіданні; Гурова К.Д., Дейнека Р.С., </w:t>
      </w:r>
      <w:proofErr w:type="spellStart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Пітько</w:t>
      </w:r>
      <w:proofErr w:type="spellEnd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В.А., Сталінський Д.В.,  </w:t>
      </w:r>
      <w:proofErr w:type="spellStart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Сухонос</w:t>
      </w:r>
      <w:proofErr w:type="spellEnd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М.К.</w:t>
      </w:r>
    </w:p>
    <w:p w14:paraId="417AFB31" w14:textId="77777777" w:rsidR="00A364CB" w:rsidRPr="00A364CB" w:rsidRDefault="00A364CB" w:rsidP="00A364C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val="uk-UA" w:eastAsia="zh-CN"/>
        </w:rPr>
      </w:pPr>
    </w:p>
    <w:p w14:paraId="26036B82" w14:textId="6769CEE1" w:rsidR="00A364CB" w:rsidRPr="00A364CB" w:rsidRDefault="00A364CB" w:rsidP="00A364C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val="uk-UA" w:eastAsia="zh-CN"/>
        </w:rPr>
      </w:pPr>
      <w:r w:rsidRPr="00A364CB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  <w:t xml:space="preserve">ВІДСУТНІ: </w:t>
      </w:r>
      <w:proofErr w:type="spellStart"/>
      <w:r w:rsidR="00E71F3C"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Малиніна</w:t>
      </w:r>
      <w:proofErr w:type="spellEnd"/>
      <w:r w:rsidR="00E71F3C"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Т.В., </w:t>
      </w:r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Пивовар М.І., </w:t>
      </w:r>
      <w:proofErr w:type="spellStart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Райнін</w:t>
      </w:r>
      <w:proofErr w:type="spellEnd"/>
      <w:r w:rsidRPr="00A364CB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І.Л. </w:t>
      </w:r>
    </w:p>
    <w:p w14:paraId="6C40127F" w14:textId="77777777" w:rsidR="00A364CB" w:rsidRPr="00A364CB" w:rsidRDefault="00A364CB" w:rsidP="00A364C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16"/>
          <w:szCs w:val="16"/>
          <w:lang w:val="uk-UA"/>
        </w:rPr>
      </w:pPr>
    </w:p>
    <w:p w14:paraId="71127BC8" w14:textId="7862D4C6" w:rsidR="00A364CB" w:rsidRPr="00A364CB" w:rsidRDefault="00A364CB" w:rsidP="00A364CB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A364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</w:rPr>
        <w:t xml:space="preserve">ЗАПРОШЕНІ: </w:t>
      </w:r>
      <w:r w:rsidRPr="00A364CB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>Бондаренко Ольга Миколаївна</w:t>
      </w:r>
      <w:r w:rsidRPr="00A364CB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</w:rPr>
        <w:t xml:space="preserve"> </w:t>
      </w:r>
      <w:r w:rsidRPr="00A364CB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uk-UA"/>
        </w:rPr>
        <w:t xml:space="preserve">– </w:t>
      </w:r>
      <w:r w:rsidRPr="00A364CB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</w:rPr>
        <w:t xml:space="preserve">заступник керуючого справами, начальник 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управління з організаційних питань діяльності ради виконавчого апарату обласної ради; </w:t>
      </w:r>
      <w:r w:rsidR="0070310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/>
        </w:rPr>
        <w:t>Шевчук Віталій Вікторович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</w:t>
      </w:r>
      <w:r w:rsidR="0070310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–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</w:t>
      </w:r>
      <w:r w:rsidR="0070310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заступник 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начальник</w:t>
      </w:r>
      <w:r w:rsidR="0070310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а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управління правового забезпечення діяльності ради виконавчого апарату обласної ради</w:t>
      </w:r>
      <w:r w:rsidRPr="00A364CB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</w:rPr>
        <w:t>;</w:t>
      </w:r>
      <w:r w:rsidRPr="00A364C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  <w:r w:rsidRPr="00A364C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uk-UA"/>
        </w:rPr>
        <w:t>Ковальова Олена Михайлівна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– 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начальник управління з питань комунальної власності виконавчого апарату обласної ради; </w:t>
      </w:r>
      <w:proofErr w:type="spellStart"/>
      <w:r w:rsidR="0070310C" w:rsidRPr="0070310C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uk-UA"/>
        </w:rPr>
        <w:t>Ротач</w:t>
      </w:r>
      <w:proofErr w:type="spellEnd"/>
      <w:r w:rsidR="0070310C" w:rsidRPr="0070310C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uk-UA"/>
        </w:rPr>
        <w:t xml:space="preserve"> Світлана Олександрівна </w:t>
      </w:r>
      <w:r w:rsidR="0070310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– начальник організаційного відділу </w:t>
      </w:r>
      <w:r w:rsidR="0070310C"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управління з організаційних питань діяльності ради виконавчого апарату обласної ради</w:t>
      </w:r>
    </w:p>
    <w:p w14:paraId="6D23AC5A" w14:textId="77777777" w:rsidR="00A364CB" w:rsidRPr="00A364CB" w:rsidRDefault="00A364CB" w:rsidP="00A364C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</w:p>
    <w:p w14:paraId="0C97ECEA" w14:textId="77777777" w:rsidR="00A364CB" w:rsidRPr="00A364CB" w:rsidRDefault="00A364CB" w:rsidP="00A364CB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3B6875FF" w14:textId="77777777" w:rsidR="00A364CB" w:rsidRDefault="00A364CB" w:rsidP="00A364CB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0D1A656A" w14:textId="77777777" w:rsidR="00F96CD1" w:rsidRPr="00A364CB" w:rsidRDefault="00F96CD1" w:rsidP="00A364CB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3802C36F" w14:textId="77777777" w:rsidR="006B3F65" w:rsidRDefault="006B3F65" w:rsidP="006B3F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Присутні: 6</w:t>
      </w:r>
    </w:p>
    <w:p w14:paraId="318378D3" w14:textId="23CDD0B5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СЛУХАЛИ: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1BBF118B" w14:textId="77777777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ab/>
      </w:r>
      <w:r w:rsidRPr="00A364C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uk-UA"/>
        </w:rPr>
        <w:t>Доповідає: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A364CB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>Куц</w:t>
      </w:r>
      <w:proofErr w:type="spellEnd"/>
      <w:r w:rsidRPr="00A364CB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 xml:space="preserve"> Галина Михайлівна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– голова постійної комісії, головуюча на засіданні.</w:t>
      </w:r>
    </w:p>
    <w:p w14:paraId="0C10C1A3" w14:textId="77777777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9E15045" w14:textId="2052EAC6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bookmarkStart w:id="1" w:name="_Hlk201744734"/>
      <w:r w:rsidRPr="00A364CB">
        <w:rPr>
          <w:rFonts w:ascii="Times New Roman" w:eastAsia="Calibri" w:hAnsi="Times New Roman" w:cs="Microsoft Uighur"/>
          <w:bCs/>
          <w:kern w:val="0"/>
          <w:sz w:val="28"/>
          <w:szCs w:val="28"/>
          <w:lang w:val="uk-UA"/>
        </w:rPr>
        <w:t xml:space="preserve">Вона </w:t>
      </w:r>
      <w:bookmarkEnd w:id="1"/>
      <w:r w:rsidRPr="00A364CB">
        <w:rPr>
          <w:rFonts w:ascii="Times New Roman" w:eastAsia="Calibri" w:hAnsi="Times New Roman" w:cs="Microsoft Uighur"/>
          <w:bCs/>
          <w:kern w:val="0"/>
          <w:sz w:val="28"/>
          <w:szCs w:val="28"/>
          <w:lang w:val="uk-UA"/>
        </w:rPr>
        <w:t xml:space="preserve">запропонувала </w:t>
      </w:r>
      <w:r w:rsidR="0070310C">
        <w:rPr>
          <w:rFonts w:ascii="Times New Roman" w:eastAsia="Calibri" w:hAnsi="Times New Roman" w:cs="Microsoft Uighur"/>
          <w:bCs/>
          <w:kern w:val="0"/>
          <w:sz w:val="28"/>
          <w:szCs w:val="28"/>
          <w:lang w:val="uk-UA"/>
        </w:rPr>
        <w:t>з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атвердити порядок денний засідання постійної комісії               № 3</w:t>
      </w:r>
      <w:r w:rsidR="0070310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9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</w:p>
    <w:p w14:paraId="53D160E6" w14:textId="77777777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227F3EE2" w14:textId="085A927B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Затвердити порядок денний засідання постійної комісії № 3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9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</w:p>
    <w:p w14:paraId="069C2A17" w14:textId="77777777" w:rsidR="00A364CB" w:rsidRPr="00A364CB" w:rsidRDefault="00A364CB" w:rsidP="00A364CB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4551E425" w14:textId="5270B0AD" w:rsidR="0070310C" w:rsidRPr="00F96CD1" w:rsidRDefault="00A364CB" w:rsidP="00A364C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Голосували:    «За»              -  </w:t>
      </w:r>
      <w:r w:rsidR="006B3F6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6</w:t>
      </w: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(</w:t>
      </w:r>
      <w:proofErr w:type="spellStart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Куц</w:t>
      </w:r>
      <w:proofErr w:type="spellEnd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Г.М., </w:t>
      </w:r>
      <w:r w:rsidR="0070310C" w:rsidRPr="00F96CD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Гурова К.Д.,</w:t>
      </w:r>
    </w:p>
    <w:p w14:paraId="5772FFC9" w14:textId="77777777" w:rsidR="006B3F65" w:rsidRDefault="00A364CB" w:rsidP="00A364CB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Дейнека Р.С., </w:t>
      </w:r>
      <w:r w:rsidR="0070310C" w:rsidRPr="00F96CD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="006B3F6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Пітько</w:t>
      </w:r>
      <w:proofErr w:type="spellEnd"/>
      <w:r w:rsidR="006B3F6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В.А., </w:t>
      </w:r>
    </w:p>
    <w:p w14:paraId="7742B392" w14:textId="71CB9E8E" w:rsidR="00A364CB" w:rsidRPr="00A364CB" w:rsidRDefault="00A364CB" w:rsidP="00A364CB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Сталінський Д.В., </w:t>
      </w:r>
      <w:proofErr w:type="spellStart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Сухонос</w:t>
      </w:r>
      <w:proofErr w:type="spellEnd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М.К.)</w:t>
      </w:r>
    </w:p>
    <w:p w14:paraId="54EFE6AB" w14:textId="77777777" w:rsidR="00A364CB" w:rsidRPr="00A364CB" w:rsidRDefault="00A364CB" w:rsidP="00A364CB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lastRenderedPageBreak/>
        <w:t xml:space="preserve">    «проти»        -       немає</w:t>
      </w:r>
    </w:p>
    <w:p w14:paraId="12710710" w14:textId="77777777" w:rsidR="00A364CB" w:rsidRPr="00A364CB" w:rsidRDefault="00A364CB" w:rsidP="00A364C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          «</w:t>
      </w:r>
      <w:proofErr w:type="spellStart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утрим</w:t>
      </w:r>
      <w:proofErr w:type="spellEnd"/>
      <w:r w:rsidRPr="00A364C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.»       -       немає </w:t>
      </w:r>
    </w:p>
    <w:p w14:paraId="1528BB98" w14:textId="77777777" w:rsidR="00A364CB" w:rsidRPr="00A364CB" w:rsidRDefault="00A364CB" w:rsidP="00A364CB">
      <w:pPr>
        <w:spacing w:after="0" w:line="240" w:lineRule="auto"/>
        <w:ind w:left="720"/>
        <w:contextualSpacing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</w:p>
    <w:p w14:paraId="56B17455" w14:textId="77777777" w:rsidR="00A364CB" w:rsidRPr="00A364CB" w:rsidRDefault="00A364CB" w:rsidP="00A364CB">
      <w:pPr>
        <w:spacing w:after="0" w:line="240" w:lineRule="auto"/>
        <w:ind w:left="720"/>
        <w:contextualSpacing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</w:p>
    <w:p w14:paraId="6305B01B" w14:textId="77777777" w:rsidR="00A364CB" w:rsidRPr="00A364CB" w:rsidRDefault="00A364CB" w:rsidP="00A364CB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  <w:t>ПОРЯДОК ДЕННИЙ:</w:t>
      </w:r>
    </w:p>
    <w:p w14:paraId="6C41D8F1" w14:textId="77777777" w:rsidR="00A364CB" w:rsidRPr="00A364CB" w:rsidRDefault="00A364CB" w:rsidP="00A364CB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10"/>
          <w:szCs w:val="10"/>
          <w:u w:val="single"/>
          <w:lang w:val="uk-UA" w:eastAsia="ar-SA"/>
        </w:rPr>
      </w:pPr>
    </w:p>
    <w:p w14:paraId="70CF8F3E" w14:textId="02979C36" w:rsidR="00A0780C" w:rsidRPr="00E94612" w:rsidRDefault="00A0780C" w:rsidP="00A078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контрактів, укладених із Лисак Наталією Володимирівною, директором КОМУНАЛЬНОГО ЗАКЛАДУ «ЧУГУЇВСЬКИЙ АКАДЕМІЧНИЙ ЛІЦЕЙ 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>СИНЕРГІЯ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» ХАРКІВСЬКОЇ ОБЛАСНОЇ РАДИ та Михайленко Галиною Володимирівною, директором КОМУНАЛЬНОГО ЗАКЛАДУ «ХАРКІВСЬКИЙ АКАДЕМІЧНИЙ ЛІЦЕЙ </w:t>
      </w:r>
      <w:r w:rsidRPr="00E94612">
        <w:rPr>
          <w:rFonts w:ascii="Times New Roman" w:hAnsi="Times New Roman" w:cs="Times New Roman"/>
          <w:sz w:val="28"/>
          <w:szCs w:val="28"/>
        </w:rPr>
        <w:t>“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>ІНТЕЛ 13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РАДИ».</w:t>
      </w:r>
    </w:p>
    <w:p w14:paraId="0DDCC072" w14:textId="22E2623E" w:rsidR="00A0780C" w:rsidRPr="00A0780C" w:rsidRDefault="00A0780C" w:rsidP="00A0780C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bookmarkStart w:id="2" w:name="_Hlk214355229"/>
      <w:r w:rsidRPr="00A0780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A0780C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7928E6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Ковальова Олена Михайлівна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–</w:t>
      </w:r>
      <w:r w:rsidR="007928E6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начальник управління</w:t>
      </w:r>
      <w:r w:rsidR="007928E6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з питань комунальної власності виконавчого апарату Харківської обласної ради.</w:t>
      </w:r>
    </w:p>
    <w:bookmarkEnd w:id="2"/>
    <w:p w14:paraId="6D74E829" w14:textId="77777777" w:rsidR="00A364CB" w:rsidRDefault="00A364CB">
      <w:pPr>
        <w:rPr>
          <w:lang w:val="uk-UA"/>
        </w:rPr>
      </w:pPr>
    </w:p>
    <w:p w14:paraId="7CE85048" w14:textId="77777777" w:rsidR="00960D30" w:rsidRDefault="00960D30">
      <w:pPr>
        <w:rPr>
          <w:lang w:val="uk-UA"/>
        </w:rPr>
      </w:pPr>
    </w:p>
    <w:p w14:paraId="4734F9D2" w14:textId="77777777" w:rsidR="00960D30" w:rsidRDefault="00960D30">
      <w:pPr>
        <w:rPr>
          <w:lang w:val="uk-UA"/>
        </w:rPr>
      </w:pPr>
    </w:p>
    <w:p w14:paraId="34BED305" w14:textId="48D38328" w:rsidR="00F96CD1" w:rsidRDefault="00F96CD1" w:rsidP="00F96C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Присутні: 6</w:t>
      </w:r>
    </w:p>
    <w:p w14:paraId="4A7B2EA3" w14:textId="77777777" w:rsidR="00A364CB" w:rsidRPr="00E94612" w:rsidRDefault="00A364CB" w:rsidP="00A36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контрактів, укладених із Лисак Наталією Володимирівною, директором КОМУНАЛЬНОГО ЗАКЛАДУ «ЧУГУЇВСЬКИЙ АКАДЕМІЧНИЙ ЛІЦЕЙ 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>СИНЕРГІЯ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» ХАРКІВСЬКОЇ ОБЛАСНОЇ РАДИ та Михайленко Галиною Володимирівною, директором КОМУНАЛЬНОГО ЗАКЛАДУ «ХАРКІВСЬКИЙ АКАДЕМІЧНИЙ ЛІЦЕЙ </w:t>
      </w:r>
      <w:r w:rsidRPr="00E94612">
        <w:rPr>
          <w:rFonts w:ascii="Times New Roman" w:hAnsi="Times New Roman" w:cs="Times New Roman"/>
          <w:sz w:val="28"/>
          <w:szCs w:val="28"/>
        </w:rPr>
        <w:t>“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>ІНТЕЛ 13</w:t>
      </w:r>
      <w:r w:rsidRPr="00E94612">
        <w:rPr>
          <w:rFonts w:ascii="Times New Roman" w:hAnsi="Times New Roman" w:cs="Times New Roman"/>
          <w:sz w:val="28"/>
          <w:szCs w:val="28"/>
        </w:rPr>
        <w:t>”</w:t>
      </w:r>
      <w:r w:rsidRPr="00E94612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РАДИ».</w:t>
      </w:r>
    </w:p>
    <w:p w14:paraId="0B26CC62" w14:textId="60285F01" w:rsidR="00A364CB" w:rsidRPr="00A0780C" w:rsidRDefault="00A364CB" w:rsidP="00A364CB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A0780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A0780C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Ковальова Олена Михайлівна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–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начальник управління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з питань комунальної власності виконавчого апарату Харківської обласної ради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(матеріали додаються)</w:t>
      </w:r>
      <w:r w:rsidRPr="00A0780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5A72215E" w14:textId="72B907EA" w:rsidR="00A364CB" w:rsidRPr="00672F8B" w:rsidRDefault="00A364CB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11382BD" w14:textId="63DE6D60" w:rsidR="00A364CB" w:rsidRPr="00A364CB" w:rsidRDefault="00A364CB" w:rsidP="00A364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ВИСТУПИЛИ: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,</w:t>
      </w:r>
      <w:r w:rsidRPr="00A364CB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proofErr w:type="spellStart"/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Куц</w:t>
      </w:r>
      <w:proofErr w:type="spellEnd"/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Г.М. </w:t>
      </w:r>
    </w:p>
    <w:p w14:paraId="18414ABF" w14:textId="4FFAE9A9" w:rsidR="00A364CB" w:rsidRPr="006A69A3" w:rsidRDefault="00A364CB" w:rsidP="00A364CB">
      <w:pPr>
        <w:spacing w:after="0" w:line="240" w:lineRule="auto"/>
        <w:jc w:val="both"/>
        <w:rPr>
          <w:rFonts w:cs="Times New Roman"/>
          <w:bCs/>
          <w:szCs w:val="28"/>
          <w:lang w:val="uk-UA"/>
        </w:rPr>
      </w:pPr>
      <w:proofErr w:type="spellStart"/>
      <w:r w:rsidRPr="00A364C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uk-UA"/>
        </w:rPr>
        <w:t>Куц</w:t>
      </w:r>
      <w:proofErr w:type="spellEnd"/>
      <w:r w:rsidRPr="00A364C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uk-UA"/>
        </w:rPr>
        <w:t xml:space="preserve"> Г.М.</w:t>
      </w:r>
      <w:r w:rsidRPr="00A364CB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запропонувала інформацію взяти до відома,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погодити </w:t>
      </w:r>
      <w:r w:rsidRPr="006A69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додаткові угоди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 № 2 </w:t>
      </w:r>
      <w:r w:rsidRPr="006A69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контракту № 398 від 21 вересня 2022 року, укладеного із керівником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«ХАРКІВСЬКИЙ АКАДЕМІЧНИЙ ЛІЦЕЙ “ІНТЕЛ 13” ХАРКІВСЬКОЇ ОБЛАСНОЇ РАДИ, що є у спільній власності територіальних громад сіл, селищ, міст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№ 3 до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контракту № 378 від 18 березня 2021 року, укладеного із керівником КОМУНАЛЬНОГО ЗАКЛАДУ «ЧУГУЇВСЬКИЙ АКАДЕМІЧНИЙ ЛІЦЕЙ ”СИНЕРГІЯ”»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що є у спільній власності територіальних громад сіл, селищ, міст Харківської області</w:t>
      </w:r>
    </w:p>
    <w:p w14:paraId="60EDD938" w14:textId="77777777" w:rsidR="00A364CB" w:rsidRPr="00A364CB" w:rsidRDefault="00A364CB" w:rsidP="00A364CB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val="uk-UA"/>
        </w:rPr>
      </w:pPr>
    </w:p>
    <w:p w14:paraId="1FB33640" w14:textId="775CD7E2" w:rsidR="00A364CB" w:rsidRPr="00A364CB" w:rsidRDefault="00A364CB" w:rsidP="00A364CB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A364CB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ВИРІШИЛИ: </w:t>
      </w:r>
    </w:p>
    <w:p w14:paraId="0298FBE6" w14:textId="77777777" w:rsidR="00A364CB" w:rsidRPr="006A69A3" w:rsidRDefault="00A364CB" w:rsidP="00A364CB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20462CC" w14:textId="77777777" w:rsidR="00A364CB" w:rsidRDefault="00A364CB" w:rsidP="00A364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6A69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додаткові угоди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14:paraId="3D4F0773" w14:textId="77777777" w:rsidR="00A364CB" w:rsidRDefault="00A364CB" w:rsidP="00A364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№ 2 </w:t>
      </w:r>
      <w:r w:rsidRPr="006A69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контракту № 398 від 21 вересня 2022 року, укладеного із керівником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«ХАРКІВСЬКИЙ АКАДЕМІЧНИЙ ЛІЦЕЙ “ІНТЕЛ 13” ХАРКІВСЬКОЇ ОБЛАСНОЇ РАДИ, що є у спільній власності територіальних громад сіл, селищ, міст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DDA15E" w14:textId="77777777" w:rsidR="00A364CB" w:rsidRPr="006A69A3" w:rsidRDefault="00A364CB" w:rsidP="00A364CB">
      <w:pPr>
        <w:spacing w:after="0" w:line="240" w:lineRule="auto"/>
        <w:ind w:firstLine="426"/>
        <w:jc w:val="both"/>
        <w:rPr>
          <w:rFonts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№ 3 до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контракту № 378 від 18 березня 2021 року, укладеного із керівником КОМУНАЛЬНОГО ЗАКЛАДУ «ЧУГУЇВСЬКИЙ АКАДЕМІЧНИЙ ЛІЦЕЙ ”СИНЕРГІЯ”»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що є у спільній власності територіальних громад сіл, селищ, міст Харківської області</w:t>
      </w:r>
    </w:p>
    <w:p w14:paraId="20845DC7" w14:textId="77777777" w:rsidR="00A364CB" w:rsidRDefault="00A364CB" w:rsidP="00A364C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FC489D4" w14:textId="77777777" w:rsidR="00F96CD1" w:rsidRPr="006A69A3" w:rsidRDefault="00F96CD1" w:rsidP="00A364C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F96CD1" w:rsidRPr="00F96CD1" w14:paraId="0351CEA1" w14:textId="77777777" w:rsidTr="00D508D1">
        <w:trPr>
          <w:trHeight w:val="1065"/>
        </w:trPr>
        <w:tc>
          <w:tcPr>
            <w:tcW w:w="1701" w:type="dxa"/>
            <w:hideMark/>
          </w:tcPr>
          <w:p w14:paraId="11A899C3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0C1F8BBC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3140601F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DB46147" w14:textId="6E37C1F7" w:rsidR="00A364CB" w:rsidRPr="00A364CB" w:rsidRDefault="00F96CD1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96C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7F127CFC" w14:textId="4A7316D2" w:rsidR="00A364CB" w:rsidRPr="00A364CB" w:rsidRDefault="00A364CB" w:rsidP="00F96CD1">
            <w:pPr>
              <w:tabs>
                <w:tab w:val="left" w:pos="5415"/>
                <w:tab w:val="left" w:pos="7620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Г.М., Гурова К.Д., </w:t>
            </w: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Пітько</w:t>
            </w:r>
            <w:proofErr w:type="spellEnd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В.А., Сталінський Д.В.,</w:t>
            </w:r>
            <w:r w:rsidR="00AB36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Сухонос</w:t>
            </w:r>
            <w:proofErr w:type="spellEnd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F96CD1" w:rsidRPr="00F96CD1" w14:paraId="27F58E22" w14:textId="77777777" w:rsidTr="00D508D1">
        <w:trPr>
          <w:trHeight w:val="340"/>
        </w:trPr>
        <w:tc>
          <w:tcPr>
            <w:tcW w:w="1701" w:type="dxa"/>
            <w:vAlign w:val="center"/>
          </w:tcPr>
          <w:p w14:paraId="7470AC5C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21913645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ADBAE63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8BDE415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67E3C47B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6CD1" w:rsidRPr="00F96CD1" w14:paraId="7DA375B3" w14:textId="77777777" w:rsidTr="00D508D1">
        <w:trPr>
          <w:trHeight w:val="340"/>
        </w:trPr>
        <w:tc>
          <w:tcPr>
            <w:tcW w:w="1701" w:type="dxa"/>
            <w:vAlign w:val="center"/>
          </w:tcPr>
          <w:p w14:paraId="125A73F7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331F7464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8C0F9DE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E3E95CF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36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42061013" w14:textId="77777777" w:rsidR="00A364CB" w:rsidRPr="00A364CB" w:rsidRDefault="00A364CB" w:rsidP="00A364CB">
            <w:pPr>
              <w:tabs>
                <w:tab w:val="left" w:pos="5415"/>
                <w:tab w:val="left" w:pos="7620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22DC60C" w14:textId="77777777" w:rsidR="00A364CB" w:rsidRPr="00F96CD1" w:rsidRDefault="00A364C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E82B86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1FDA5E8A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0768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769AA15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4BAE98DB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042AF05D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7E53DB5A" w14:textId="77777777" w:rsidR="000768E5" w:rsidRPr="000768E5" w:rsidRDefault="000768E5" w:rsidP="000768E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0768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Секретар постійної комісії </w:t>
      </w:r>
      <w:r w:rsidRPr="000768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ab/>
        <w:t xml:space="preserve">                  Руслан ДЕЙНЕКА</w:t>
      </w:r>
    </w:p>
    <w:p w14:paraId="38F46BBE" w14:textId="77777777" w:rsidR="000768E5" w:rsidRDefault="000768E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5ABBED" w14:textId="77777777" w:rsidR="000768E5" w:rsidRPr="00A364CB" w:rsidRDefault="000768E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768E5" w:rsidRPr="00A364CB" w:rsidSect="000768E5">
      <w:headerReference w:type="default" r:id="rId9"/>
      <w:pgSz w:w="11906" w:h="16838"/>
      <w:pgMar w:top="709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BAA1" w14:textId="77777777" w:rsidR="00580F27" w:rsidRDefault="00580F27" w:rsidP="000768E5">
      <w:pPr>
        <w:spacing w:after="0" w:line="240" w:lineRule="auto"/>
      </w:pPr>
      <w:r>
        <w:separator/>
      </w:r>
    </w:p>
  </w:endnote>
  <w:endnote w:type="continuationSeparator" w:id="0">
    <w:p w14:paraId="0F69760A" w14:textId="77777777" w:rsidR="00580F27" w:rsidRDefault="00580F27" w:rsidP="0007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FC4E" w14:textId="77777777" w:rsidR="00580F27" w:rsidRDefault="00580F27" w:rsidP="000768E5">
      <w:pPr>
        <w:spacing w:after="0" w:line="240" w:lineRule="auto"/>
      </w:pPr>
      <w:r>
        <w:separator/>
      </w:r>
    </w:p>
  </w:footnote>
  <w:footnote w:type="continuationSeparator" w:id="0">
    <w:p w14:paraId="49E86E27" w14:textId="77777777" w:rsidR="00580F27" w:rsidRDefault="00580F27" w:rsidP="0007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479831"/>
      <w:docPartObj>
        <w:docPartGallery w:val="Page Numbers (Top of Page)"/>
        <w:docPartUnique/>
      </w:docPartObj>
    </w:sdtPr>
    <w:sdtContent>
      <w:p w14:paraId="078D494A" w14:textId="302C3B79" w:rsidR="000768E5" w:rsidRDefault="000768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3E8208" w14:textId="77777777" w:rsidR="000768E5" w:rsidRDefault="000768E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768E5"/>
    <w:rsid w:val="00080030"/>
    <w:rsid w:val="000E7F07"/>
    <w:rsid w:val="001629A5"/>
    <w:rsid w:val="002A5F20"/>
    <w:rsid w:val="003E7485"/>
    <w:rsid w:val="00487A63"/>
    <w:rsid w:val="00580F27"/>
    <w:rsid w:val="005968BF"/>
    <w:rsid w:val="00672F8B"/>
    <w:rsid w:val="006B3F65"/>
    <w:rsid w:val="006B65A5"/>
    <w:rsid w:val="006F7471"/>
    <w:rsid w:val="0070310C"/>
    <w:rsid w:val="00712D2C"/>
    <w:rsid w:val="00734AD4"/>
    <w:rsid w:val="007928E6"/>
    <w:rsid w:val="0084066A"/>
    <w:rsid w:val="00930578"/>
    <w:rsid w:val="00941138"/>
    <w:rsid w:val="00960D30"/>
    <w:rsid w:val="009C286A"/>
    <w:rsid w:val="00A0780C"/>
    <w:rsid w:val="00A364CB"/>
    <w:rsid w:val="00AB3607"/>
    <w:rsid w:val="00B366C1"/>
    <w:rsid w:val="00B96028"/>
    <w:rsid w:val="00BD014F"/>
    <w:rsid w:val="00BE7662"/>
    <w:rsid w:val="00C05D76"/>
    <w:rsid w:val="00CB5C17"/>
    <w:rsid w:val="00D95806"/>
    <w:rsid w:val="00DC3297"/>
    <w:rsid w:val="00DC512E"/>
    <w:rsid w:val="00E71F3C"/>
    <w:rsid w:val="00ED72F8"/>
    <w:rsid w:val="00F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768E5"/>
  </w:style>
  <w:style w:type="paragraph" w:styleId="af0">
    <w:name w:val="footer"/>
    <w:basedOn w:val="a"/>
    <w:link w:val="af1"/>
    <w:uiPriority w:val="99"/>
    <w:unhideWhenUsed/>
    <w:rsid w:val="0007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7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AAFC-21FF-4B42-BCE1-9C4364D7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2025-11-18T14:13:00Z</cp:lastPrinted>
  <dcterms:created xsi:type="dcterms:W3CDTF">2025-11-18T08:44:00Z</dcterms:created>
  <dcterms:modified xsi:type="dcterms:W3CDTF">2025-11-20T12:52:00Z</dcterms:modified>
</cp:coreProperties>
</file>